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B28" w:rsidRDefault="00AE5B28" w:rsidP="00DD0580">
      <w:pPr>
        <w:pStyle w:val="Titre1"/>
        <w:jc w:val="center"/>
      </w:pPr>
      <w:r>
        <w:t xml:space="preserve">Consultation Publique </w:t>
      </w:r>
      <w:proofErr w:type="spellStart"/>
      <w:r>
        <w:t>IoT</w:t>
      </w:r>
      <w:proofErr w:type="spellEnd"/>
      <w:r>
        <w:t xml:space="preserve"> ARCEP</w:t>
      </w:r>
    </w:p>
    <w:p w:rsidR="00AE5B28" w:rsidRDefault="00AE5B28" w:rsidP="00DD0580">
      <w:pPr>
        <w:pStyle w:val="Titre1"/>
        <w:jc w:val="center"/>
      </w:pPr>
      <w:r>
        <w:t>Document n°1 Cartographie des enjeux</w:t>
      </w:r>
    </w:p>
    <w:p w:rsidR="006D62E1" w:rsidRDefault="006D62E1" w:rsidP="006D62E1">
      <w:pPr>
        <w:pStyle w:val="Titre1"/>
        <w:jc w:val="center"/>
      </w:pPr>
      <w:r>
        <w:t xml:space="preserve">Commentaires AFNOR émis par le comité stratégique </w:t>
      </w:r>
      <w:proofErr w:type="spellStart"/>
      <w:r>
        <w:t>CoS</w:t>
      </w:r>
      <w:proofErr w:type="spellEnd"/>
      <w:r>
        <w:t xml:space="preserve"> ICN, et les commissions de normalisation CN </w:t>
      </w:r>
      <w:proofErr w:type="spellStart"/>
      <w:r>
        <w:t>IoT</w:t>
      </w:r>
      <w:proofErr w:type="spellEnd"/>
      <w:r>
        <w:t xml:space="preserve"> ainsi que CN 31</w:t>
      </w:r>
    </w:p>
    <w:p w:rsidR="00AE5B28" w:rsidRDefault="00AE5B28">
      <w:bookmarkStart w:id="0" w:name="_GoBack"/>
      <w:bookmarkEnd w:id="0"/>
    </w:p>
    <w:p w:rsidR="00AE5B28" w:rsidRDefault="00394852" w:rsidP="00394852">
      <w:pPr>
        <w:jc w:val="right"/>
      </w:pPr>
      <w:r>
        <w:t xml:space="preserve">A l’attention de Monsieur </w:t>
      </w:r>
      <w:proofErr w:type="spellStart"/>
      <w:r>
        <w:t>Loutrel</w:t>
      </w:r>
      <w:proofErr w:type="spellEnd"/>
      <w:r>
        <w:t>, Directeur Général de l’ARCEP</w:t>
      </w:r>
    </w:p>
    <w:p w:rsidR="00394852" w:rsidRDefault="00394852"/>
    <w:p w:rsidR="00394852" w:rsidRDefault="00394852">
      <w:r>
        <w:t xml:space="preserve">Monsieur le Directeur Général, </w:t>
      </w:r>
    </w:p>
    <w:p w:rsidR="00394852" w:rsidRDefault="00394852"/>
    <w:p w:rsidR="00394852" w:rsidRDefault="00394852" w:rsidP="00DC48DE">
      <w:pPr>
        <w:jc w:val="both"/>
      </w:pPr>
      <w:r>
        <w:t xml:space="preserve">La consultation publique concernant le projet de livre blanc sur l’internet des objets a retenu l’attention des membres des commissions nationales de normalisation AFNOR CN </w:t>
      </w:r>
      <w:proofErr w:type="spellStart"/>
      <w:r>
        <w:t>IoT</w:t>
      </w:r>
      <w:proofErr w:type="spellEnd"/>
      <w:r>
        <w:t xml:space="preserve"> et CN 31. Impliqués directement dans la fourniture, l’intégration et l’utilisation de solutions </w:t>
      </w:r>
      <w:proofErr w:type="spellStart"/>
      <w:r>
        <w:t>IoT</w:t>
      </w:r>
      <w:proofErr w:type="spellEnd"/>
      <w:r>
        <w:t xml:space="preserve"> ainsi que dans la recherche et la formation universitaire, les membres ont souhaité apporté leur soutien à cette initiative et profiter de la consultation publique pour vous faire part de quelques remarques que nous espérons constructives. </w:t>
      </w:r>
    </w:p>
    <w:p w:rsidR="00394852" w:rsidRDefault="00DC48DE" w:rsidP="00DC48DE">
      <w:pPr>
        <w:jc w:val="both"/>
      </w:pPr>
      <w:r>
        <w:t>Ces commentaires sont également supportés par le Centre National de Référence RFID dont je suis le directeur technique.</w:t>
      </w:r>
    </w:p>
    <w:p w:rsidR="00DC48DE" w:rsidRDefault="00DC48DE" w:rsidP="00DC48DE">
      <w:pPr>
        <w:jc w:val="both"/>
      </w:pPr>
      <w:r>
        <w:t>Je me tiens personnellement à votre disposition pour discuter plus en avant de ces commentaires et espère que vous étudierez nos remarques avec bienveillance.</w:t>
      </w:r>
    </w:p>
    <w:p w:rsidR="00DC48DE" w:rsidRDefault="00DC48DE" w:rsidP="00DC48DE">
      <w:pPr>
        <w:jc w:val="both"/>
      </w:pPr>
    </w:p>
    <w:p w:rsidR="00DC48DE" w:rsidRDefault="00DC48DE" w:rsidP="00DC48DE">
      <w:pPr>
        <w:jc w:val="both"/>
      </w:pPr>
      <w:r>
        <w:t>Je vous prie d’agréer, Monsieur le Directeur général, l’expression de mes meilleures salutations.</w:t>
      </w:r>
    </w:p>
    <w:p w:rsidR="00DC48DE" w:rsidRDefault="00DC48DE"/>
    <w:p w:rsidR="00394852" w:rsidRDefault="00DC48DE" w:rsidP="00DC48DE">
      <w:pPr>
        <w:ind w:left="4956" w:firstLine="708"/>
      </w:pPr>
      <w:r>
        <w:t xml:space="preserve">Claude </w:t>
      </w:r>
      <w:proofErr w:type="spellStart"/>
      <w:r>
        <w:t>Tételin</w:t>
      </w:r>
      <w:proofErr w:type="spellEnd"/>
    </w:p>
    <w:p w:rsidR="00DC48DE" w:rsidRDefault="00DC48DE" w:rsidP="00DC48DE">
      <w:pPr>
        <w:ind w:left="3540" w:firstLine="708"/>
      </w:pPr>
      <w:r>
        <w:t xml:space="preserve">Président des commissions AFNOR CN </w:t>
      </w:r>
      <w:proofErr w:type="spellStart"/>
      <w:r>
        <w:t>IoT</w:t>
      </w:r>
      <w:proofErr w:type="spellEnd"/>
      <w:r>
        <w:t xml:space="preserve"> et CN 31</w:t>
      </w:r>
    </w:p>
    <w:p w:rsidR="00394852" w:rsidRDefault="00394852"/>
    <w:p w:rsidR="00DC48DE" w:rsidRDefault="00DC48DE">
      <w:r>
        <w:br w:type="page"/>
      </w:r>
    </w:p>
    <w:p w:rsidR="00AE5B28" w:rsidRDefault="00AE5B28" w:rsidP="00DD0580">
      <w:pPr>
        <w:pStyle w:val="Titre1"/>
      </w:pPr>
      <w:r>
        <w:lastRenderedPageBreak/>
        <w:t>Introduction</w:t>
      </w:r>
    </w:p>
    <w:p w:rsidR="00AE5B28" w:rsidRDefault="00AE5B28" w:rsidP="00DD0580">
      <w:pPr>
        <w:jc w:val="both"/>
      </w:pPr>
      <w:r>
        <w:t>Le 19 juillet 2016, l’ARCEP a lancé une consultation publique sur son projet de livre blanc « Préparer la révolution de l’internet des objets ». Ce livre blanc est composé de deux documents. Le premier propose une cartographie des enjeux et le second propose des orientations pour l’ARCEP.</w:t>
      </w:r>
    </w:p>
    <w:p w:rsidR="00AE5B28" w:rsidRDefault="00AE5B28" w:rsidP="00DD0580">
      <w:pPr>
        <w:jc w:val="both"/>
      </w:pPr>
      <w:r>
        <w:t xml:space="preserve">Ce présent document propose des commentaires pour le premier document. Ces commentaires ont été discutés et validés au sein des deux commissions de normalisation de l’AFNOR directement impliquées dans l’internet des objets : </w:t>
      </w:r>
    </w:p>
    <w:p w:rsidR="00AE5B28" w:rsidRDefault="00AE5B28" w:rsidP="00DD0580">
      <w:pPr>
        <w:pStyle w:val="Paragraphedeliste"/>
        <w:numPr>
          <w:ilvl w:val="0"/>
          <w:numId w:val="1"/>
        </w:numPr>
        <w:jc w:val="both"/>
      </w:pPr>
      <w:r>
        <w:t>la CN 31 « Identification automatique et saisie de données », commission miroir des comités ISO/IEC JTC1/SC31 et CEN/TC225</w:t>
      </w:r>
    </w:p>
    <w:p w:rsidR="00AE5B28" w:rsidRDefault="00AE5B28" w:rsidP="00DD0580">
      <w:pPr>
        <w:pStyle w:val="Paragraphedeliste"/>
        <w:numPr>
          <w:ilvl w:val="0"/>
          <w:numId w:val="1"/>
        </w:numPr>
        <w:jc w:val="both"/>
      </w:pPr>
      <w:r>
        <w:t>la CN « Internet des objets », commission miroir des comités ISO/IEC JTC1 WG7 et WG10</w:t>
      </w:r>
    </w:p>
    <w:p w:rsidR="00AE5B28" w:rsidRDefault="00AE5B28" w:rsidP="00DD0580">
      <w:pPr>
        <w:jc w:val="both"/>
      </w:pPr>
    </w:p>
    <w:p w:rsidR="00AE5B28" w:rsidRDefault="00AE5B28" w:rsidP="00DD0580">
      <w:pPr>
        <w:pStyle w:val="Titre1"/>
      </w:pPr>
      <w:r>
        <w:t>Commentaires généraux</w:t>
      </w:r>
    </w:p>
    <w:p w:rsidR="0091739E" w:rsidRDefault="0091739E" w:rsidP="00DD0580">
      <w:pPr>
        <w:pStyle w:val="Titre2"/>
      </w:pPr>
      <w:r>
        <w:t>Auditions</w:t>
      </w:r>
    </w:p>
    <w:p w:rsidR="00AE5B28" w:rsidRDefault="00AE5B28" w:rsidP="00DD0580">
      <w:pPr>
        <w:jc w:val="both"/>
      </w:pPr>
      <w:r>
        <w:t xml:space="preserve">Les membres des commissions CN </w:t>
      </w:r>
      <w:proofErr w:type="spellStart"/>
      <w:r>
        <w:t>IoT</w:t>
      </w:r>
      <w:proofErr w:type="spellEnd"/>
      <w:r>
        <w:t xml:space="preserve"> et CN 31 soutiennent l’initiative de l’ARCEP et </w:t>
      </w:r>
      <w:r w:rsidR="005005DA">
        <w:t xml:space="preserve">saluent le travail réalisé dans le cadre des auditions des différentes parties prenantes. Néanmoins et bien que conscient de la difficulté d’être exhaustif et du temps limité pour la réalisation des auditions, nous regrettons l’absence de certains acteurs tels que GS1 France, </w:t>
      </w:r>
      <w:proofErr w:type="spellStart"/>
      <w:r w:rsidR="005005DA">
        <w:t>Gemalto</w:t>
      </w:r>
      <w:proofErr w:type="spellEnd"/>
      <w:r w:rsidR="005005DA">
        <w:t xml:space="preserve">, </w:t>
      </w:r>
      <w:proofErr w:type="spellStart"/>
      <w:r w:rsidR="005005DA">
        <w:t>Withings</w:t>
      </w:r>
      <w:proofErr w:type="spellEnd"/>
      <w:r w:rsidR="005005DA">
        <w:t>, le Centre National de Référence RFID, le CITC</w:t>
      </w:r>
      <w:r w:rsidR="0091739E">
        <w:t xml:space="preserve"> et la faible représentation des acteurs académiques.</w:t>
      </w:r>
    </w:p>
    <w:p w:rsidR="0091739E" w:rsidRDefault="0091739E" w:rsidP="00AE5B28"/>
    <w:p w:rsidR="0091739E" w:rsidRDefault="0091739E" w:rsidP="00DD0580">
      <w:pPr>
        <w:pStyle w:val="Titre2"/>
      </w:pPr>
      <w:r>
        <w:t>Structure et contenu du document</w:t>
      </w:r>
    </w:p>
    <w:p w:rsidR="0091739E" w:rsidRDefault="0091739E" w:rsidP="00DD0580">
      <w:pPr>
        <w:jc w:val="both"/>
      </w:pPr>
      <w:r>
        <w:t>Le document n°1 présente clairement la chaine de valeur de l’internet des objets entre traitement des données, connectivité et objets physiques. Il présente également clairement les grands enjeux pour :</w:t>
      </w:r>
    </w:p>
    <w:p w:rsidR="0091739E" w:rsidRDefault="0091739E" w:rsidP="00DD0580">
      <w:pPr>
        <w:pStyle w:val="Paragraphedeliste"/>
        <w:numPr>
          <w:ilvl w:val="0"/>
          <w:numId w:val="2"/>
        </w:numPr>
        <w:jc w:val="both"/>
      </w:pPr>
      <w:r>
        <w:t xml:space="preserve">la connectivité (notamment pour l’utilisation des ressources radio), </w:t>
      </w:r>
    </w:p>
    <w:p w:rsidR="0091739E" w:rsidRDefault="0091739E" w:rsidP="00DD0580">
      <w:pPr>
        <w:pStyle w:val="Paragraphedeliste"/>
        <w:numPr>
          <w:ilvl w:val="0"/>
          <w:numId w:val="2"/>
        </w:numPr>
        <w:jc w:val="both"/>
      </w:pPr>
      <w:r>
        <w:t xml:space="preserve">l’adressage des objets, </w:t>
      </w:r>
    </w:p>
    <w:p w:rsidR="0091739E" w:rsidRDefault="0091739E" w:rsidP="00DD0580">
      <w:pPr>
        <w:pStyle w:val="Paragraphedeliste"/>
        <w:numPr>
          <w:ilvl w:val="0"/>
          <w:numId w:val="2"/>
        </w:numPr>
        <w:jc w:val="both"/>
      </w:pPr>
      <w:r>
        <w:t>l’interopérabilité tant au niveau des couches basses que des couches hautes</w:t>
      </w:r>
    </w:p>
    <w:p w:rsidR="0091739E" w:rsidRDefault="0091739E" w:rsidP="00DD0580">
      <w:pPr>
        <w:pStyle w:val="Paragraphedeliste"/>
        <w:numPr>
          <w:ilvl w:val="0"/>
          <w:numId w:val="2"/>
        </w:numPr>
        <w:jc w:val="both"/>
      </w:pPr>
      <w:r>
        <w:t>la confiance et le respect des données à caractère personnel</w:t>
      </w:r>
    </w:p>
    <w:p w:rsidR="0091739E" w:rsidRDefault="0091739E" w:rsidP="00DD0580">
      <w:pPr>
        <w:pStyle w:val="Paragraphedeliste"/>
        <w:numPr>
          <w:ilvl w:val="0"/>
          <w:numId w:val="2"/>
        </w:numPr>
        <w:jc w:val="both"/>
      </w:pPr>
      <w:r>
        <w:t>la sécurité et</w:t>
      </w:r>
    </w:p>
    <w:p w:rsidR="0091739E" w:rsidRDefault="0091739E" w:rsidP="00DD0580">
      <w:pPr>
        <w:pStyle w:val="Paragraphedeliste"/>
        <w:numPr>
          <w:ilvl w:val="0"/>
          <w:numId w:val="2"/>
        </w:numPr>
        <w:jc w:val="both"/>
      </w:pPr>
      <w:r>
        <w:t>la</w:t>
      </w:r>
      <w:r w:rsidR="005166D7">
        <w:t xml:space="preserve"> règlementation.</w:t>
      </w:r>
    </w:p>
    <w:p w:rsidR="00DD0580" w:rsidRDefault="00DD0580" w:rsidP="00DD0580">
      <w:pPr>
        <w:jc w:val="both"/>
      </w:pPr>
      <w:r>
        <w:t>Une table des matières ainsi qu’un glossaire permettrait au lecteur de mieux appréhender le contenu du document.</w:t>
      </w:r>
    </w:p>
    <w:p w:rsidR="0057703A" w:rsidRDefault="0057703A" w:rsidP="00DD0580">
      <w:pPr>
        <w:pStyle w:val="Titre2"/>
      </w:pPr>
      <w:r>
        <w:t>Applications en bande libre</w:t>
      </w:r>
    </w:p>
    <w:p w:rsidR="005166D7" w:rsidRDefault="005166D7" w:rsidP="00DD0580">
      <w:pPr>
        <w:jc w:val="both"/>
      </w:pPr>
      <w:r>
        <w:t>Nous regrettons que l’accent soit principalement mis sur les technologies basées sur des réseaux opérés (en bande libre ou soumise à licence). Parmi les milliards d’objets connectés annoncés par différentes études à l’horizon 2020, un grand nombre d’entre eux le seront via des réseaux PAN ou LAN et n’auront comme « intelligence » qu’un capteur relié à un identifiant unique (type NFC ou RFID UHF). Ces objets n’auront que peu de moyen</w:t>
      </w:r>
      <w:r w:rsidR="00DC48DE">
        <w:t>s</w:t>
      </w:r>
      <w:r>
        <w:t xml:space="preserve"> d’authentification ce qui pourrait poser un problème majeur d’intégrité des données collectées. Cela pose également le problème de la disponibilité des ressources radio </w:t>
      </w:r>
      <w:r w:rsidR="007E5D07">
        <w:t>dans les bandes libres. L’augmentation du nombre de technologies ayant accès à ces ressources posera le problème de brouillage et d’interférences donc de disponibilité des données.</w:t>
      </w:r>
    </w:p>
    <w:p w:rsidR="00DD0580" w:rsidRDefault="00DD0580" w:rsidP="00DD0580">
      <w:pPr>
        <w:jc w:val="both"/>
      </w:pPr>
    </w:p>
    <w:p w:rsidR="0057703A" w:rsidRDefault="0057703A" w:rsidP="00DD0580">
      <w:pPr>
        <w:pStyle w:val="Titre2"/>
      </w:pPr>
      <w:r>
        <w:t>Adressage</w:t>
      </w:r>
    </w:p>
    <w:p w:rsidR="00BF6C3D" w:rsidRDefault="00BF6C3D" w:rsidP="00DD0580">
      <w:pPr>
        <w:jc w:val="both"/>
      </w:pPr>
      <w:r>
        <w:t>Concernant les enjeux liés à l’adressage des objets, l’accent est mis sur les réseaux mobiles, notamment 3GPP, avec les adresses MS-ISDN et IMSI ainsi que sur le protocole internet avec les adresses IPv4 et IPv6. De nombreux objets n’ont aujourd’hui pour identifiant qu’un numéro unique de type EPC (</w:t>
      </w:r>
      <w:proofErr w:type="spellStart"/>
      <w:r>
        <w:t>Electronic</w:t>
      </w:r>
      <w:proofErr w:type="spellEnd"/>
      <w:r>
        <w:t xml:space="preserve"> Product Code) pour les applications RFID UHF ou de type UID (Unique Identifier) pour les applications NFC. Il nous semble important que l’ARCEP, dans son livre blanc, mentionne les enjeux d’unicité de ces identifiants et du rôle que doit jouer une ou plusieurs autorités d’enregistrement dans la mise à disposition de ces identifiants dans les applications </w:t>
      </w:r>
      <w:proofErr w:type="spellStart"/>
      <w:r>
        <w:t>IoT</w:t>
      </w:r>
      <w:proofErr w:type="spellEnd"/>
      <w:r>
        <w:t>.</w:t>
      </w:r>
    </w:p>
    <w:p w:rsidR="00186A1E" w:rsidRDefault="00186A1E" w:rsidP="00DD0580">
      <w:pPr>
        <w:jc w:val="both"/>
      </w:pPr>
      <w:r>
        <w:t>Le document pourrait également faire référence à la norme ISO/IEC 29161 : 2016 « </w:t>
      </w:r>
      <w:r w:rsidRPr="00186A1E">
        <w:t xml:space="preserve">Information </w:t>
      </w:r>
      <w:proofErr w:type="spellStart"/>
      <w:r w:rsidRPr="00186A1E">
        <w:t>technology</w:t>
      </w:r>
      <w:proofErr w:type="spellEnd"/>
      <w:r w:rsidRPr="00186A1E">
        <w:t xml:space="preserve"> -- Data structure -- Unique identification for the Internet of </w:t>
      </w:r>
      <w:proofErr w:type="spellStart"/>
      <w:r w:rsidRPr="00186A1E">
        <w:t>Things</w:t>
      </w:r>
      <w:proofErr w:type="spellEnd"/>
      <w:r>
        <w:t xml:space="preserve"> » qui référence les principales méthodes de nommage utilisables par les applications </w:t>
      </w:r>
      <w:proofErr w:type="spellStart"/>
      <w:r>
        <w:t>IoT</w:t>
      </w:r>
      <w:proofErr w:type="spellEnd"/>
      <w:r>
        <w:t>.</w:t>
      </w:r>
    </w:p>
    <w:p w:rsidR="00DD0580" w:rsidRDefault="00DD0580" w:rsidP="005166D7"/>
    <w:p w:rsidR="0057703A" w:rsidRDefault="0057703A" w:rsidP="00DD0580">
      <w:pPr>
        <w:pStyle w:val="Titre2"/>
      </w:pPr>
      <w:r>
        <w:t>Interopérabilité</w:t>
      </w:r>
    </w:p>
    <w:p w:rsidR="0091739E" w:rsidRDefault="0057703A" w:rsidP="00DD0580">
      <w:pPr>
        <w:jc w:val="both"/>
      </w:pPr>
      <w:r>
        <w:t xml:space="preserve">Le document souligne le paradoxe entre le besoin d’interopérabilité et la nécessité d’expérimenter rapidement des usages </w:t>
      </w:r>
      <w:r w:rsidR="00DC48DE">
        <w:t>pour</w:t>
      </w:r>
      <w:r>
        <w:t xml:space="preserve"> des applications fermées. Il est clair que forcer les acteurs à travailler en mode ouvert alors que le marché est émergent présente des risques économiques certains. Il faut cependant noter que toutes les technologies n’ont pas besoin d’être interopérables </w:t>
      </w:r>
      <w:r w:rsidR="00DC48DE">
        <w:t>d</w:t>
      </w:r>
      <w:r>
        <w:t>u fait qu’elles ne présentent pas les mêmes performances et caractéristiques (en termes de couverture, débit, autonomie, résilience, latence</w:t>
      </w:r>
      <w:r w:rsidR="00ED6BAA">
        <w:t xml:space="preserve">). </w:t>
      </w:r>
      <w:r>
        <w:t xml:space="preserve">Il serait donc intéressant d’ajouter à ce document, sans que cela soit vu comme un benchmark, un paragraphe permettant au lecteur de différencier les solutions disponibles (dès aujourd’hui ou à court terme) sur le marché. </w:t>
      </w:r>
      <w:r w:rsidR="001F1473">
        <w:t xml:space="preserve">Il serait également utile de mentionner les travaux menés notamment par les comités de standardisation ISO/IEC JTC1/WG10 et IEEE P2413 sur la mise en place de standards décrivant une architecture de référence des applications </w:t>
      </w:r>
      <w:proofErr w:type="spellStart"/>
      <w:r w:rsidR="001F1473">
        <w:t>IoT</w:t>
      </w:r>
      <w:proofErr w:type="spellEnd"/>
      <w:r w:rsidR="001F1473">
        <w:t>. Une architecture commune, si elle était adoptée par les fournisseurs de solutions pourrait permettre d’atteindre rapidement un niveau acceptable d’interopérabilité lorsque celui-ci se révèlera indispensable.</w:t>
      </w:r>
    </w:p>
    <w:p w:rsidR="00DD0580" w:rsidRDefault="00DD0580" w:rsidP="00DD0580">
      <w:pPr>
        <w:jc w:val="both"/>
      </w:pPr>
    </w:p>
    <w:p w:rsidR="0091739E" w:rsidRDefault="00ED6BAA" w:rsidP="00DD0580">
      <w:pPr>
        <w:pStyle w:val="Titre2"/>
      </w:pPr>
      <w:r>
        <w:t>Sécurité et confiance</w:t>
      </w:r>
    </w:p>
    <w:p w:rsidR="00ED6BAA" w:rsidRDefault="00ED6BAA" w:rsidP="00DD0580">
      <w:pPr>
        <w:jc w:val="both"/>
      </w:pPr>
      <w:r>
        <w:t>Le document présente bien les deux aspects qui sont souvent confondus par les fournisseurs de solutions. La confiance a trait à l’acceptation</w:t>
      </w:r>
      <w:r w:rsidR="00FC7F90">
        <w:t xml:space="preserve"> de la solution </w:t>
      </w:r>
      <w:r>
        <w:t xml:space="preserve">par l’utilisateur final et à la transparence des données collectées et des traitements effectués. Ces questions ne peuvent pas uniquement être résolues par des mécanismes sécuritaires classiques. Le document devrait faire référence </w:t>
      </w:r>
      <w:r w:rsidR="008071E1">
        <w:t>plus explicitement au futur règlement européen 2016/679 et notamment :</w:t>
      </w:r>
    </w:p>
    <w:p w:rsidR="008071E1" w:rsidRDefault="008071E1" w:rsidP="00DD0580">
      <w:pPr>
        <w:pStyle w:val="Paragraphedeliste"/>
        <w:numPr>
          <w:ilvl w:val="0"/>
          <w:numId w:val="3"/>
        </w:numPr>
        <w:jc w:val="both"/>
      </w:pPr>
      <w:r>
        <w:t>Aux concepts de « </w:t>
      </w:r>
      <w:proofErr w:type="spellStart"/>
      <w:r>
        <w:t>Privacy</w:t>
      </w:r>
      <w:proofErr w:type="spellEnd"/>
      <w:r>
        <w:t xml:space="preserve"> by design » et « </w:t>
      </w:r>
      <w:proofErr w:type="spellStart"/>
      <w:r>
        <w:t>Privacy</w:t>
      </w:r>
      <w:proofErr w:type="spellEnd"/>
      <w:r>
        <w:t xml:space="preserve"> by default » auxquels les fournisseurs devront se conformer dès mai 2018.</w:t>
      </w:r>
    </w:p>
    <w:p w:rsidR="008071E1" w:rsidRDefault="008071E1" w:rsidP="00DD0580">
      <w:pPr>
        <w:pStyle w:val="Paragraphedeliste"/>
        <w:numPr>
          <w:ilvl w:val="0"/>
          <w:numId w:val="3"/>
        </w:numPr>
        <w:jc w:val="both"/>
      </w:pPr>
      <w:r>
        <w:t xml:space="preserve">Au concept de Data Protection Impact </w:t>
      </w:r>
      <w:proofErr w:type="spellStart"/>
      <w:r>
        <w:t>Assessment</w:t>
      </w:r>
      <w:proofErr w:type="spellEnd"/>
      <w:r>
        <w:t xml:space="preserve"> (Art 35 du règlement) qui demande au fournisseur d’évaluer le risque sur la vie privée et les données à caractère personnel.</w:t>
      </w:r>
    </w:p>
    <w:p w:rsidR="0091739E" w:rsidRDefault="008071E1" w:rsidP="00DD0580">
      <w:pPr>
        <w:jc w:val="both"/>
      </w:pPr>
      <w:r>
        <w:t>Le concept même d’internet des objets intègre l’aspect nomade des objets ainsi que leurs faibles ressources propres (énergie et calcul). Les techniques d’attaque évoluent aussi vite (voire plus</w:t>
      </w:r>
      <w:r w:rsidR="00DC48DE">
        <w:t xml:space="preserve"> vite</w:t>
      </w:r>
      <w:r>
        <w:t xml:space="preserve">) que les techniques de sécurisation. La question de la mise à jour des défenses des objets connectés doit donc être clairement posée et notamment pour les applications industrielles et des collectivités </w:t>
      </w:r>
      <w:r>
        <w:lastRenderedPageBreak/>
        <w:t xml:space="preserve">locales pour lesquelles les objets auront des durées de vie de plusieurs années voire décennies. </w:t>
      </w:r>
      <w:r w:rsidR="00FC7F90">
        <w:t xml:space="preserve">Les questions de connectivité </w:t>
      </w:r>
      <w:proofErr w:type="spellStart"/>
      <w:r w:rsidR="00FC7F90">
        <w:t>downlink</w:t>
      </w:r>
      <w:proofErr w:type="spellEnd"/>
      <w:r w:rsidR="00FC7F90">
        <w:t xml:space="preserve"> (pour la mise à jour des objets connectés) sont donc primordiales.</w:t>
      </w:r>
    </w:p>
    <w:p w:rsidR="0091739E" w:rsidRDefault="0091739E" w:rsidP="00AE5B28"/>
    <w:p w:rsidR="00F54B43" w:rsidRDefault="00F54B43" w:rsidP="00F54B43">
      <w:pPr>
        <w:pStyle w:val="Titre1"/>
      </w:pPr>
      <w:r>
        <w:t>Commentaires détaillés</w:t>
      </w:r>
    </w:p>
    <w:p w:rsidR="0091739E" w:rsidRDefault="0091739E" w:rsidP="00AE5B28"/>
    <w:p w:rsidR="00F54B43" w:rsidRDefault="00F54B43" w:rsidP="00AE5B28">
      <w:r>
        <w:t>Paragraphe 1.1 (page 9/40)</w:t>
      </w:r>
    </w:p>
    <w:p w:rsidR="00F54B43" w:rsidRDefault="00F54B43" w:rsidP="00F33869">
      <w:pPr>
        <w:jc w:val="both"/>
      </w:pPr>
      <w:r>
        <w:t>La liste des acteurs de l’internet des objets devrait inclure les utilisateurs finaux qui, dans le cas d’utilisation de ressources radio en bande libre, seront amenés à jouer le rôle d’opérateur</w:t>
      </w:r>
      <w:r w:rsidR="00235AC8">
        <w:t xml:space="preserve"> pour leur propre compte</w:t>
      </w:r>
      <w:r>
        <w:t>. Les questions de respect des normes de sécurité, de résistance aux interférences et de respect des équipements radio aux règlementations seront difficilement contrôlables bien que cruciales.</w:t>
      </w:r>
    </w:p>
    <w:p w:rsidR="0091739E" w:rsidRDefault="0091739E" w:rsidP="00AE5B28"/>
    <w:p w:rsidR="00AE5B28" w:rsidRDefault="00235AC8" w:rsidP="00AE5B28">
      <w:r>
        <w:t xml:space="preserve">Paragraphe 2.1 (page 12/40) </w:t>
      </w:r>
    </w:p>
    <w:p w:rsidR="00235AC8" w:rsidRDefault="00235AC8" w:rsidP="00F33869">
      <w:pPr>
        <w:jc w:val="both"/>
      </w:pPr>
      <w:r>
        <w:t xml:space="preserve">La figure ne mentionne pas la technologie RFID UHF dans la liste des systèmes PAN / LAN. C’est pourtant un pilier essentiel de l’internet des objets. </w:t>
      </w:r>
    </w:p>
    <w:p w:rsidR="00235AC8" w:rsidRDefault="00235AC8" w:rsidP="00F33869">
      <w:pPr>
        <w:jc w:val="both"/>
      </w:pPr>
      <w:r>
        <w:t>Cette figure pourrait également indiquer le type de ressource utilisée (bande libre ou soumise à autorisation)</w:t>
      </w:r>
    </w:p>
    <w:p w:rsidR="00AE5B28" w:rsidRDefault="00AE5B28"/>
    <w:p w:rsidR="00227E8B" w:rsidRDefault="00227E8B">
      <w:r>
        <w:t>Paragraphe 2.1.1 (page 13/40)</w:t>
      </w:r>
    </w:p>
    <w:p w:rsidR="00227E8B" w:rsidRDefault="00227E8B">
      <w:r>
        <w:t>Ajouter RFID UHF dans la liste des technologies fonctionnant en bandes libres.</w:t>
      </w:r>
    </w:p>
    <w:p w:rsidR="00227E8B" w:rsidRDefault="00227E8B"/>
    <w:p w:rsidR="00227E8B" w:rsidRDefault="00227E8B">
      <w:r>
        <w:t>Paragraphe 2.1.2 (page 13/40)</w:t>
      </w:r>
    </w:p>
    <w:p w:rsidR="00227E8B" w:rsidRDefault="00227E8B">
      <w:r>
        <w:t>Le NB-</w:t>
      </w:r>
      <w:proofErr w:type="spellStart"/>
      <w:r>
        <w:t>IoT</w:t>
      </w:r>
      <w:proofErr w:type="spellEnd"/>
      <w:r>
        <w:t xml:space="preserve"> vient d’être standardisé par le consortium 3GPP dans la </w:t>
      </w:r>
      <w:r w:rsidRPr="00227E8B">
        <w:t>Release 13 (LTE Advanced Pro)</w:t>
      </w:r>
      <w:r>
        <w:t>.</w:t>
      </w:r>
    </w:p>
    <w:p w:rsidR="00227E8B" w:rsidRDefault="00227E8B"/>
    <w:p w:rsidR="00227E8B" w:rsidRDefault="00227E8B">
      <w:r>
        <w:t>Paragraphe 3.3 (page 22/40)</w:t>
      </w:r>
    </w:p>
    <w:p w:rsidR="00227E8B" w:rsidRDefault="00227E8B" w:rsidP="00F33869">
      <w:pPr>
        <w:jc w:val="both"/>
      </w:pPr>
      <w:r>
        <w:t xml:space="preserve">Dans la liste des identifiants utilisés pour les applications </w:t>
      </w:r>
      <w:proofErr w:type="spellStart"/>
      <w:r>
        <w:t>IoT</w:t>
      </w:r>
      <w:proofErr w:type="spellEnd"/>
      <w:r>
        <w:t>, il faudrait ajouter les codes EPC (</w:t>
      </w:r>
      <w:proofErr w:type="spellStart"/>
      <w:r>
        <w:t>Electronic</w:t>
      </w:r>
      <w:proofErr w:type="spellEnd"/>
      <w:r>
        <w:t xml:space="preserve"> Product Code) pour les technologies RFID UHF. Un paragraphe 3.3.4 pourrait être ajouté pour décrire les modes d’adressage et standards utilisés en RFID (HF et UHF). Si la proposition était retenue, le Centre National de Référence RFID se tient à la disposition de l’ARCEP pour proposer le contenu d’un tel paragraphe.</w:t>
      </w:r>
    </w:p>
    <w:p w:rsidR="00227E8B" w:rsidRDefault="00227E8B"/>
    <w:p w:rsidR="00227E8B" w:rsidRDefault="00227E8B">
      <w:r>
        <w:t>Paragraphe 5.1.2 (page 31/40)</w:t>
      </w:r>
    </w:p>
    <w:p w:rsidR="00227E8B" w:rsidRDefault="00227E8B" w:rsidP="00F33869">
      <w:pPr>
        <w:jc w:val="both"/>
      </w:pPr>
      <w:r>
        <w:t>Les notions de « </w:t>
      </w:r>
      <w:proofErr w:type="spellStart"/>
      <w:r>
        <w:t>Privacy</w:t>
      </w:r>
      <w:proofErr w:type="spellEnd"/>
      <w:r>
        <w:t xml:space="preserve"> by Design » et « </w:t>
      </w:r>
      <w:proofErr w:type="spellStart"/>
      <w:r>
        <w:t>Privacy</w:t>
      </w:r>
      <w:proofErr w:type="spellEnd"/>
      <w:r>
        <w:t xml:space="preserve"> by default » devraient être abordées dans ce paragraphe. </w:t>
      </w:r>
      <w:proofErr w:type="gramStart"/>
      <w:r>
        <w:t>Elles permettrait</w:t>
      </w:r>
      <w:proofErr w:type="gramEnd"/>
      <w:r>
        <w:t xml:space="preserve"> aux lecteurs de se familiariser avec ces concepts avant l’entrée en vigueur du règlement européen 679/2016.</w:t>
      </w:r>
    </w:p>
    <w:p w:rsidR="00AE5B28" w:rsidRDefault="00F33869" w:rsidP="00DC48DE">
      <w:pPr>
        <w:jc w:val="center"/>
      </w:pPr>
      <w:r>
        <w:t>Fin du document</w:t>
      </w:r>
    </w:p>
    <w:sectPr w:rsidR="00AE5B2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8DE" w:rsidRDefault="00DC48DE" w:rsidP="00DC48DE">
      <w:pPr>
        <w:spacing w:after="0" w:line="240" w:lineRule="auto"/>
      </w:pPr>
      <w:r>
        <w:separator/>
      </w:r>
    </w:p>
  </w:endnote>
  <w:endnote w:type="continuationSeparator" w:id="0">
    <w:p w:rsidR="00DC48DE" w:rsidRDefault="00DC48DE" w:rsidP="00DC4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2667577"/>
      <w:docPartObj>
        <w:docPartGallery w:val="Page Numbers (Bottom of Page)"/>
        <w:docPartUnique/>
      </w:docPartObj>
    </w:sdtPr>
    <w:sdtEndPr/>
    <w:sdtContent>
      <w:p w:rsidR="00DC48DE" w:rsidRDefault="00DC48DE">
        <w:pPr>
          <w:pStyle w:val="Pieddepage"/>
        </w:pPr>
        <w:r>
          <w:fldChar w:fldCharType="begin"/>
        </w:r>
        <w:r>
          <w:instrText>PAGE   \* MERGEFORMAT</w:instrText>
        </w:r>
        <w:r>
          <w:fldChar w:fldCharType="separate"/>
        </w:r>
        <w:r w:rsidR="006D62E1">
          <w:rPr>
            <w:noProof/>
          </w:rPr>
          <w:t>2</w:t>
        </w:r>
        <w:r>
          <w:fldChar w:fldCharType="end"/>
        </w:r>
      </w:p>
    </w:sdtContent>
  </w:sdt>
  <w:p w:rsidR="00DC48DE" w:rsidRDefault="00DC48D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8DE" w:rsidRDefault="00DC48DE" w:rsidP="00DC48DE">
      <w:pPr>
        <w:spacing w:after="0" w:line="240" w:lineRule="auto"/>
      </w:pPr>
      <w:r>
        <w:separator/>
      </w:r>
    </w:p>
  </w:footnote>
  <w:footnote w:type="continuationSeparator" w:id="0">
    <w:p w:rsidR="00DC48DE" w:rsidRDefault="00DC48DE" w:rsidP="00DC48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0009F"/>
    <w:multiLevelType w:val="hybridMultilevel"/>
    <w:tmpl w:val="E4E0137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25B83F3C"/>
    <w:multiLevelType w:val="hybridMultilevel"/>
    <w:tmpl w:val="3E3621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2502EC0"/>
    <w:multiLevelType w:val="hybridMultilevel"/>
    <w:tmpl w:val="8B8AD49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B0"/>
    <w:rsid w:val="00186A1E"/>
    <w:rsid w:val="001F1473"/>
    <w:rsid w:val="00227E8B"/>
    <w:rsid w:val="00235AC8"/>
    <w:rsid w:val="002E00E6"/>
    <w:rsid w:val="00394852"/>
    <w:rsid w:val="005005DA"/>
    <w:rsid w:val="005166D7"/>
    <w:rsid w:val="0057703A"/>
    <w:rsid w:val="006406B2"/>
    <w:rsid w:val="006D62E1"/>
    <w:rsid w:val="007E5D07"/>
    <w:rsid w:val="008071E1"/>
    <w:rsid w:val="0091739E"/>
    <w:rsid w:val="00AE5B28"/>
    <w:rsid w:val="00BF46B0"/>
    <w:rsid w:val="00BF6C3D"/>
    <w:rsid w:val="00DC48DE"/>
    <w:rsid w:val="00DD0580"/>
    <w:rsid w:val="00ED6BAA"/>
    <w:rsid w:val="00F33869"/>
    <w:rsid w:val="00F54B43"/>
    <w:rsid w:val="00FC7F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9A60-F487-41D6-B637-A01FAA30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DD05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DD05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D0580"/>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DD0580"/>
    <w:pPr>
      <w:ind w:left="720"/>
      <w:contextualSpacing/>
    </w:pPr>
  </w:style>
  <w:style w:type="character" w:customStyle="1" w:styleId="Titre2Car">
    <w:name w:val="Titre 2 Car"/>
    <w:basedOn w:val="Policepardfaut"/>
    <w:link w:val="Titre2"/>
    <w:uiPriority w:val="9"/>
    <w:rsid w:val="00DD0580"/>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DC48DE"/>
    <w:pPr>
      <w:tabs>
        <w:tab w:val="center" w:pos="4536"/>
        <w:tab w:val="right" w:pos="9072"/>
      </w:tabs>
      <w:spacing w:after="0" w:line="240" w:lineRule="auto"/>
    </w:pPr>
  </w:style>
  <w:style w:type="character" w:customStyle="1" w:styleId="En-tteCar">
    <w:name w:val="En-tête Car"/>
    <w:basedOn w:val="Policepardfaut"/>
    <w:link w:val="En-tte"/>
    <w:uiPriority w:val="99"/>
    <w:rsid w:val="00DC48DE"/>
  </w:style>
  <w:style w:type="paragraph" w:styleId="Pieddepage">
    <w:name w:val="footer"/>
    <w:basedOn w:val="Normal"/>
    <w:link w:val="PieddepageCar"/>
    <w:uiPriority w:val="99"/>
    <w:unhideWhenUsed/>
    <w:rsid w:val="00DC48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C4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12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1415</Words>
  <Characters>7788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Claude Tetelin</dc:creator>
  <cp:keywords/>
  <dc:description/>
  <cp:lastModifiedBy>boissard sandra</cp:lastModifiedBy>
  <cp:revision>11</cp:revision>
  <dcterms:created xsi:type="dcterms:W3CDTF">2016-08-09T10:16:00Z</dcterms:created>
  <dcterms:modified xsi:type="dcterms:W3CDTF">2016-09-12T12:16:00Z</dcterms:modified>
</cp:coreProperties>
</file>